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CB97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313" w:afterLines="100" w:line="480" w:lineRule="exact"/>
        <w:jc w:val="center"/>
        <w:rPr>
          <w:rFonts w:hint="eastAsia" w:ascii="黑体" w:hAnsi="黑体" w:eastAsia="黑体" w:cs="黑体"/>
          <w:b/>
          <w:bCs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shd w:val="clear" w:color="auto" w:fill="FFFFFF"/>
          <w:lang w:val="en-US" w:eastAsia="zh-CN"/>
        </w:rPr>
        <w:t>中国特色社会主义理论体系研究中心</w:t>
      </w:r>
    </w:p>
    <w:p w14:paraId="569C0E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313" w:afterLines="100" w:line="480" w:lineRule="exact"/>
        <w:jc w:val="center"/>
        <w:rPr>
          <w:rFonts w:hint="eastAsia" w:ascii="黑体" w:hAnsi="黑体" w:eastAsia="黑体" w:cs="黑体"/>
          <w:b/>
          <w:sz w:val="28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shd w:val="clear" w:color="auto" w:fill="FFFFFF"/>
          <w:lang w:val="en-US" w:eastAsia="zh-CN"/>
        </w:rPr>
        <w:t>2026年度课题指南</w:t>
      </w:r>
      <w:r>
        <w:rPr>
          <w:rFonts w:hint="eastAsia" w:ascii="黑体" w:hAnsi="黑体" w:eastAsia="黑体" w:cs="黑体"/>
          <w:b/>
          <w:bCs/>
          <w:sz w:val="11"/>
          <w:szCs w:val="11"/>
          <w:shd w:val="clear" w:color="auto" w:fill="FFFFFF"/>
          <w:lang w:val="en-US" w:eastAsia="zh-CN"/>
        </w:rPr>
        <w:t xml:space="preserve">   </w:t>
      </w:r>
      <w:r>
        <w:rPr>
          <w:rFonts w:hint="eastAsia" w:ascii="黑体" w:hAnsi="黑体" w:eastAsia="黑体" w:cs="黑体"/>
          <w:b w:val="0"/>
          <w:bCs w:val="0"/>
          <w:sz w:val="11"/>
          <w:szCs w:val="11"/>
          <w:shd w:val="clear" w:color="auto" w:fill="FFFFFF"/>
          <w:lang w:val="en-US" w:eastAsia="zh-CN"/>
        </w:rPr>
        <w:t xml:space="preserve"> 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shd w:val="clear" w:color="auto" w:fill="FFFFFF"/>
          <w:lang w:val="en-US" w:eastAsia="zh-CN"/>
        </w:rPr>
        <w:t xml:space="preserve">   </w:t>
      </w:r>
      <w:bookmarkStart w:id="0" w:name="_GoBack"/>
      <w:bookmarkEnd w:id="0"/>
    </w:p>
    <w:p w14:paraId="787D0C3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rPr>
          <w:rFonts w:hint="eastAsia" w:ascii="仿宋" w:hAnsi="仿宋" w:eastAsia="仿宋" w:cs="仿宋"/>
          <w:b w:val="0"/>
          <w:bCs w:val="0"/>
          <w:sz w:val="28"/>
          <w:szCs w:val="28"/>
        </w:rPr>
      </w:pPr>
      <w:r>
        <w:rPr>
          <w:rFonts w:hint="eastAsia" w:ascii="仿宋" w:hAnsi="仿宋" w:eastAsia="仿宋" w:cs="仿宋"/>
          <w:b w:val="0"/>
          <w:sz w:val="28"/>
        </w:rPr>
        <w:t>1.习近平总书记对四川工作系列重要指示精神文本学研究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 xml:space="preserve">           </w:t>
      </w:r>
    </w:p>
    <w:p w14:paraId="4D3E27B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rPr>
          <w:rFonts w:hint="eastAsia" w:ascii="仿宋" w:hAnsi="仿宋" w:eastAsia="仿宋" w:cs="仿宋"/>
          <w:b w:val="0"/>
          <w:bCs w:val="0"/>
          <w:sz w:val="28"/>
          <w:szCs w:val="28"/>
        </w:rPr>
      </w:pPr>
      <w:r>
        <w:rPr>
          <w:rFonts w:hint="eastAsia" w:ascii="仿宋" w:hAnsi="仿宋" w:eastAsia="仿宋" w:cs="仿宋"/>
          <w:b w:val="0"/>
          <w:sz w:val="28"/>
        </w:rPr>
        <w:t>2.习近平新时代中国特色社会主义思想世界观方法论的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运用研究</w:t>
      </w:r>
    </w:p>
    <w:p w14:paraId="A2D1CE63">
      <w:pPr>
        <w:keepNext w:val="0"/>
        <w:keepLines w:val="0"/>
        <w:pageBreakBefore w:val="0"/>
        <w:widowControl w:val="0"/>
        <w:numPr>
          <w:ilvl w:val="0"/>
          <w:numId w:val="0"/>
        </w:numPr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rPr>
          <w:rFonts w:hint="eastAsia" w:ascii="仿宋" w:hAnsi="仿宋" w:eastAsia="仿宋" w:cs="仿宋"/>
          <w:b w:val="0"/>
          <w:sz w:val="28"/>
        </w:rPr>
      </w:pPr>
      <w:r>
        <w:rPr>
          <w:rFonts w:hint="eastAsia" w:ascii="仿宋" w:hAnsi="仿宋" w:eastAsia="仿宋" w:cs="仿宋"/>
          <w:b w:val="0"/>
          <w:sz w:val="28"/>
        </w:rPr>
        <w:t xml:space="preserve">3.中国式现代化与四川推进共同富裕实践探索研究 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 xml:space="preserve"> </w:t>
      </w:r>
    </w:p>
    <w:p w14:paraId="59D9BA66">
      <w:pPr>
        <w:keepNext w:val="0"/>
        <w:keepLines w:val="0"/>
        <w:pageBreakBefore w:val="0"/>
        <w:widowControl w:val="0"/>
        <w:numPr>
          <w:ilvl w:val="0"/>
          <w:numId w:val="0"/>
        </w:numPr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rPr>
          <w:rFonts w:hint="eastAsia" w:ascii="仿宋" w:hAnsi="仿宋" w:eastAsia="仿宋" w:cs="仿宋"/>
          <w:b w:val="0"/>
          <w:sz w:val="28"/>
        </w:rPr>
      </w:pPr>
      <w:r>
        <w:rPr>
          <w:rFonts w:hint="eastAsia" w:ascii="仿宋" w:hAnsi="仿宋" w:eastAsia="仿宋" w:cs="仿宋"/>
          <w:b w:val="0"/>
          <w:sz w:val="28"/>
        </w:rPr>
        <w:t>4.“十五五”时期四川担负服务国家全局的战略使命研究</w:t>
      </w:r>
    </w:p>
    <w:p w14:paraId="1C70B00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rPr>
          <w:rFonts w:hint="eastAsia" w:ascii="仿宋" w:hAnsi="仿宋" w:eastAsia="仿宋" w:cs="仿宋"/>
          <w:b w:val="0"/>
          <w:bCs w:val="0"/>
          <w:sz w:val="28"/>
          <w:szCs w:val="28"/>
        </w:rPr>
      </w:pPr>
      <w:r>
        <w:rPr>
          <w:rFonts w:hint="eastAsia" w:ascii="仿宋" w:hAnsi="仿宋" w:eastAsia="仿宋" w:cs="仿宋"/>
          <w:b w:val="0"/>
          <w:sz w:val="28"/>
        </w:rPr>
        <w:t>5.“十五五”时期四川经济社会发展面临的风险挑战研究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 xml:space="preserve">                           </w:t>
      </w:r>
    </w:p>
    <w:p w14:paraId="081E9F5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rPr>
          <w:rFonts w:hint="eastAsia" w:ascii="仿宋" w:hAnsi="仿宋" w:eastAsia="仿宋" w:cs="仿宋"/>
          <w:b w:val="0"/>
          <w:bCs w:val="0"/>
          <w:sz w:val="28"/>
          <w:szCs w:val="28"/>
        </w:rPr>
      </w:pPr>
      <w:r>
        <w:rPr>
          <w:rFonts w:hint="eastAsia" w:ascii="仿宋" w:hAnsi="仿宋" w:eastAsia="仿宋" w:cs="仿宋"/>
          <w:b w:val="0"/>
          <w:sz w:val="28"/>
        </w:rPr>
        <w:t>6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.四川推进县域城乡融合发展的典型案例比较研究</w:t>
      </w:r>
    </w:p>
    <w:p w14:paraId="466270B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rPr>
          <w:rFonts w:hint="eastAsia" w:ascii="仿宋" w:hAnsi="仿宋" w:eastAsia="仿宋" w:cs="仿宋"/>
          <w:b w:val="0"/>
          <w:bCs w:val="0"/>
          <w:sz w:val="28"/>
          <w:szCs w:val="28"/>
        </w:rPr>
      </w:pPr>
      <w:r>
        <w:rPr>
          <w:rFonts w:hint="eastAsia" w:ascii="仿宋" w:hAnsi="仿宋" w:eastAsia="仿宋" w:cs="仿宋"/>
          <w:b w:val="0"/>
          <w:sz w:val="28"/>
        </w:rPr>
        <w:t>7.数智时代四川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基层社会治理创新典型案例研究</w:t>
      </w:r>
    </w:p>
    <w:p w14:paraId="3B40986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rPr>
          <w:rFonts w:hint="eastAsia" w:ascii="仿宋" w:hAnsi="仿宋" w:eastAsia="仿宋" w:cs="仿宋"/>
          <w:b w:val="0"/>
          <w:bCs w:val="0"/>
          <w:sz w:val="28"/>
          <w:szCs w:val="28"/>
        </w:rPr>
      </w:pPr>
      <w:r>
        <w:rPr>
          <w:rFonts w:hint="eastAsia" w:ascii="仿宋" w:hAnsi="仿宋" w:eastAsia="仿宋" w:cs="仿宋"/>
          <w:b w:val="0"/>
          <w:sz w:val="28"/>
        </w:rPr>
        <w:t>8.我省老年教育实践探索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创新研究</w:t>
      </w:r>
    </w:p>
    <w:p w14:paraId="A9536575">
      <w:pPr>
        <w:keepNext w:val="0"/>
        <w:keepLines w:val="0"/>
        <w:pageBreakBefore w:val="0"/>
        <w:widowControl w:val="0"/>
        <w:numPr>
          <w:ilvl w:val="0"/>
          <w:numId w:val="0"/>
        </w:numPr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rPr>
          <w:rFonts w:hint="eastAsia" w:ascii="仿宋" w:hAnsi="仿宋" w:eastAsia="仿宋" w:cs="仿宋"/>
          <w:b w:val="0"/>
          <w:sz w:val="28"/>
        </w:rPr>
      </w:pPr>
      <w:r>
        <w:rPr>
          <w:rFonts w:hint="eastAsia" w:ascii="仿宋" w:hAnsi="仿宋" w:eastAsia="仿宋" w:cs="仿宋"/>
          <w:b w:val="0"/>
          <w:sz w:val="28"/>
        </w:rPr>
        <w:t>9.我省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高质量推进以人为本的新型城镇化</w:t>
      </w:r>
      <w:r>
        <w:rPr>
          <w:rFonts w:hint="eastAsia" w:ascii="仿宋" w:hAnsi="仿宋" w:eastAsia="仿宋" w:cs="仿宋"/>
          <w:b w:val="0"/>
          <w:sz w:val="28"/>
        </w:rPr>
        <w:t>研究</w:t>
      </w:r>
    </w:p>
    <w:p w14:paraId="6287872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rPr>
          <w:rFonts w:hint="eastAsia" w:ascii="仿宋" w:hAnsi="仿宋" w:eastAsia="仿宋" w:cs="仿宋"/>
          <w:b w:val="0"/>
          <w:bCs w:val="0"/>
          <w:sz w:val="28"/>
          <w:szCs w:val="28"/>
        </w:rPr>
      </w:pPr>
      <w:r>
        <w:rPr>
          <w:rFonts w:hint="eastAsia" w:ascii="仿宋" w:hAnsi="仿宋" w:eastAsia="仿宋" w:cs="仿宋"/>
          <w:b w:val="0"/>
          <w:sz w:val="28"/>
        </w:rPr>
        <w:t>10.我省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县域经济发展壮大</w:t>
      </w:r>
      <w:r>
        <w:rPr>
          <w:rFonts w:hint="eastAsia" w:ascii="仿宋" w:hAnsi="仿宋" w:eastAsia="仿宋" w:cs="仿宋"/>
          <w:b w:val="0"/>
          <w:sz w:val="28"/>
        </w:rPr>
        <w:t>典型案例研究</w:t>
      </w:r>
    </w:p>
    <w:p w14:paraId="566313A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rPr>
          <w:rFonts w:hint="eastAsia" w:ascii="仿宋" w:hAnsi="仿宋" w:eastAsia="仿宋" w:cs="仿宋"/>
          <w:b w:val="0"/>
          <w:bCs w:val="0"/>
          <w:sz w:val="28"/>
          <w:szCs w:val="28"/>
        </w:rPr>
      </w:pPr>
      <w:r>
        <w:rPr>
          <w:rFonts w:hint="eastAsia" w:ascii="仿宋" w:hAnsi="仿宋" w:eastAsia="仿宋" w:cs="仿宋"/>
          <w:b w:val="0"/>
          <w:sz w:val="28"/>
          <w:lang w:val="en-US" w:eastAsia="zh-CN"/>
        </w:rPr>
        <w:t>11.我省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科技创新引领新质生产力发展</w:t>
      </w:r>
      <w:r>
        <w:rPr>
          <w:rFonts w:hint="eastAsia" w:ascii="仿宋" w:hAnsi="仿宋" w:eastAsia="仿宋" w:cs="仿宋"/>
          <w:b w:val="0"/>
          <w:sz w:val="28"/>
          <w:lang w:val="en-US" w:eastAsia="zh-CN"/>
        </w:rPr>
        <w:t>典型案例研究</w:t>
      </w:r>
    </w:p>
    <w:p w14:paraId="4DF9E03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rPr>
          <w:rFonts w:hint="eastAsia" w:ascii="仿宋" w:hAnsi="仿宋" w:eastAsia="仿宋" w:cs="仿宋"/>
          <w:b w:val="0"/>
          <w:bCs w:val="0"/>
          <w:sz w:val="28"/>
          <w:szCs w:val="28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sz w:val="28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.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新时代党的民族工作创新理论的地方实践研究</w:t>
      </w:r>
    </w:p>
    <w:p w14:paraId="65FE6B5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rPr>
          <w:rFonts w:hint="eastAsia" w:ascii="仿宋" w:hAnsi="仿宋" w:eastAsia="仿宋" w:cs="仿宋"/>
          <w:b w:val="0"/>
          <w:bCs w:val="0"/>
          <w:sz w:val="28"/>
          <w:szCs w:val="28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sz w:val="28"/>
          <w:lang w:val="en-US" w:eastAsia="zh-CN"/>
        </w:rPr>
        <w:t>3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.</w:t>
      </w:r>
      <w:r>
        <w:rPr>
          <w:rFonts w:hint="eastAsia" w:ascii="仿宋" w:hAnsi="仿宋" w:eastAsia="仿宋" w:cs="仿宋"/>
          <w:b w:val="0"/>
          <w:sz w:val="28"/>
        </w:rPr>
        <w:t>新时代党的思想政治工作创新发展的地方实践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研究</w:t>
      </w:r>
    </w:p>
    <w:p w14:paraId="3319131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rPr>
          <w:rFonts w:hint="eastAsia" w:ascii="仿宋" w:hAnsi="仿宋" w:eastAsia="仿宋" w:cs="仿宋"/>
          <w:b w:val="0"/>
          <w:bCs w:val="0"/>
          <w:sz w:val="28"/>
          <w:szCs w:val="28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sz w:val="28"/>
          <w:lang w:val="en-US" w:eastAsia="zh-CN"/>
        </w:rPr>
        <w:t>4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.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新时代推进文化和旅游深度融合发展的地方实践研究</w:t>
      </w:r>
    </w:p>
    <w:p w14:paraId="1A1EB78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rPr>
          <w:rFonts w:hint="eastAsia" w:ascii="仿宋" w:hAnsi="仿宋" w:eastAsia="仿宋" w:cs="仿宋"/>
          <w:b w:val="0"/>
          <w:bCs w:val="0"/>
          <w:sz w:val="28"/>
          <w:szCs w:val="28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sz w:val="28"/>
          <w:lang w:val="en-US" w:eastAsia="zh-CN"/>
        </w:rPr>
        <w:t>5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.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地方文化有效融入“锦绣天府·安逸四川”文旅品牌</w:t>
      </w:r>
      <w:r>
        <w:rPr>
          <w:rFonts w:hint="eastAsia" w:ascii="仿宋" w:hAnsi="仿宋" w:eastAsia="仿宋" w:cs="仿宋"/>
          <w:b w:val="0"/>
          <w:sz w:val="28"/>
        </w:rPr>
        <w:t>经验研究</w:t>
      </w:r>
    </w:p>
    <w:p w14:paraId="070F155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sz w:val="28"/>
          <w:lang w:val="en-US" w:eastAsia="zh-CN"/>
        </w:rPr>
        <w:t>6.激发人民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干事创业、创新创造活力的</w:t>
      </w:r>
      <w:r>
        <w:rPr>
          <w:rFonts w:hint="eastAsia" w:ascii="仿宋" w:hAnsi="仿宋" w:eastAsia="仿宋" w:cs="仿宋"/>
          <w:b w:val="0"/>
          <w:sz w:val="28"/>
          <w:lang w:val="en-US" w:eastAsia="zh-CN"/>
        </w:rPr>
        <w:t>地方治理经验研究</w:t>
      </w:r>
    </w:p>
    <w:p w14:paraId="5ADAA97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sz w:val="28"/>
          <w:lang w:val="en-US" w:eastAsia="zh-CN"/>
        </w:rPr>
        <w:t>17.优化营商环境赋能四川高质量发展的实践经验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研究</w:t>
      </w:r>
    </w:p>
    <w:p w14:paraId="531259A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rPr>
          <w:rFonts w:hint="default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default" w:ascii="仿宋" w:hAnsi="仿宋" w:eastAsia="仿宋" w:cs="仿宋"/>
          <w:b w:val="0"/>
          <w:sz w:val="28"/>
          <w:lang w:val="en-US" w:eastAsia="zh-CN"/>
        </w:rPr>
        <w:t>18.四川推动形成绿色生产生活方式史料整理研究</w:t>
      </w:r>
    </w:p>
    <w:p w14:paraId="2F90505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rPr>
          <w:rFonts w:hint="default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default" w:ascii="仿宋" w:hAnsi="仿宋" w:eastAsia="仿宋" w:cs="仿宋"/>
          <w:b w:val="0"/>
          <w:sz w:val="28"/>
          <w:lang w:val="en-US" w:eastAsia="zh-CN"/>
        </w:rPr>
        <w:t>19.四川</w:t>
      </w:r>
      <w:r>
        <w:rPr>
          <w:rFonts w:hint="default" w:ascii="仿宋" w:hAnsi="仿宋" w:eastAsia="仿宋" w:cs="仿宋"/>
          <w:b w:val="0"/>
          <w:bCs w:val="0"/>
          <w:sz w:val="28"/>
          <w:szCs w:val="28"/>
          <w:lang w:val="en-US" w:eastAsia="zh-CN"/>
        </w:rPr>
        <w:t>探索多元共富有效途径</w:t>
      </w:r>
      <w:r>
        <w:rPr>
          <w:rFonts w:hint="default" w:ascii="仿宋" w:hAnsi="仿宋" w:eastAsia="仿宋" w:cs="仿宋"/>
          <w:b w:val="0"/>
          <w:sz w:val="28"/>
          <w:lang w:val="en-US" w:eastAsia="zh-CN"/>
        </w:rPr>
        <w:t>史料整理研究</w:t>
      </w:r>
    </w:p>
    <w:p w14:paraId="981FEEE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rPr>
          <w:rFonts w:hint="default" w:ascii="仿宋" w:hAnsi="仿宋" w:eastAsia="仿宋" w:cs="仿宋"/>
          <w:b w:val="0"/>
          <w:sz w:val="28"/>
          <w:lang w:val="en-US" w:eastAsia="zh-CN"/>
        </w:rPr>
      </w:pPr>
      <w:r>
        <w:rPr>
          <w:rFonts w:hint="default" w:ascii="仿宋" w:hAnsi="仿宋" w:eastAsia="仿宋" w:cs="仿宋"/>
          <w:b w:val="0"/>
          <w:sz w:val="28"/>
          <w:lang w:val="en-US" w:eastAsia="zh-CN"/>
        </w:rPr>
        <w:t>20.四川</w:t>
      </w:r>
      <w:r>
        <w:rPr>
          <w:rFonts w:hint="default" w:ascii="仿宋" w:hAnsi="仿宋" w:eastAsia="仿宋" w:cs="仿宋"/>
          <w:b w:val="0"/>
          <w:bCs w:val="0"/>
          <w:sz w:val="28"/>
          <w:szCs w:val="28"/>
          <w:lang w:val="en-US" w:eastAsia="zh-CN"/>
        </w:rPr>
        <w:t>促进人口高质量发展</w:t>
      </w:r>
      <w:r>
        <w:rPr>
          <w:rFonts w:hint="default" w:ascii="仿宋" w:hAnsi="仿宋" w:eastAsia="仿宋" w:cs="仿宋"/>
          <w:b w:val="0"/>
          <w:sz w:val="28"/>
          <w:lang w:val="en-US" w:eastAsia="zh-CN"/>
        </w:rPr>
        <w:t>史料整理研究</w:t>
      </w:r>
    </w:p>
    <w:p w14:paraId="2083CE2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rPr>
          <w:rFonts w:hint="default" w:ascii="仿宋" w:hAnsi="仿宋" w:eastAsia="仿宋" w:cs="仿宋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备注：</w:t>
      </w:r>
      <w:r>
        <w:rPr>
          <w:rFonts w:hint="eastAsia" w:ascii="仿宋" w:hAnsi="仿宋" w:eastAsia="仿宋" w:cs="仿宋"/>
          <w:sz w:val="24"/>
        </w:rPr>
        <w:t>选题指南所列条目仅为申报项目提供选题依据，项目申报人可根据选题指南，结合自身研究方向</w:t>
      </w:r>
      <w:r>
        <w:rPr>
          <w:rFonts w:hint="eastAsia" w:ascii="仿宋" w:hAnsi="仿宋" w:eastAsia="仿宋" w:cs="仿宋"/>
          <w:sz w:val="24"/>
          <w:szCs w:val="24"/>
        </w:rPr>
        <w:t>确定具体的申报题目。</w:t>
      </w:r>
    </w:p>
    <w:p w14:paraId="2D2BBDA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rPr>
          <w:rFonts w:hint="default" w:ascii="仿宋" w:hAnsi="仿宋" w:eastAsia="仿宋" w:cs="仿宋"/>
          <w:b w:val="0"/>
          <w:bCs w:val="0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+西文正文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+中文正文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方正小标宋简体">
    <w:altName w:val="方正舒体"/>
    <w:panose1 w:val="02010601030000010101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BFDA8B98">
    <w:panose1 w:val="02000000000000000000"/>
    <w:charset w:val="86"/>
    <w:family w:val="auto"/>
    <w:pitch w:val="default"/>
    <w:sig w:usb0="00000001" w:usb1="00000000" w:usb2="00000000" w:usb3="00000000" w:csb0="00040001" w:csb1="00000000"/>
  </w:font>
  <w:font w:name="KSOFBE25B2F9">
    <w:panose1 w:val="02000000000000000000"/>
    <w:charset w:val="86"/>
    <w:family w:val="auto"/>
    <w:pitch w:val="default"/>
    <w:sig w:usb0="00000001" w:usb1="00000000" w:usb2="00000000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D115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accent1" w:t1="dark1" w:bg2="accent1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uiPriority w:val="0"/>
  </w:style>
  <w:style w:type="table" w:default="1" w:styleId="3">
    <w:name w:val="Normal Table"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  <w:lang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587</Words>
  <Characters>625</Characters>
  <Paragraphs>25</Paragraphs>
  <TotalTime>1</TotalTime>
  <ScaleCrop>false</ScaleCrop>
  <LinksUpToDate>false</LinksUpToDate>
  <CharactersWithSpaces>691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2024-11-05T13:28:00Z</dcterms:created>
  <dc:creator>她。</dc:creator>
  <cp:lastModifiedBy>明洋</cp:lastModifiedBy>
  <dcterms:modified xsi:type="dcterms:W3CDTF">2025-12-24T07:24:41Z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A48A89BDAEE4480F607A2767ACAF4E13_41</vt:lpwstr>
  </property>
  <property fmtid="{D5CDD505-2E9C-101B-9397-08002B2CF9AE}" pid="4" name="KSOTemplateDocerSaveRecord">
    <vt:lpwstr>eyJoZGlkIjoiYjI5MzVkNzkxZmE0M2RlODg3NmYxZjZkNzAwZDE0N2UiLCJ1c2VySWQiOiI0MzM4MjgxNDIifQ==</vt:lpwstr>
  </property>
</Properties>
</file>