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A584F">
      <w:pPr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sz w:val="36"/>
        </w:rPr>
        <w:t>关于召开第二届“蜀华论坛”的通知</w:t>
      </w:r>
    </w:p>
    <w:p w14:paraId="4B2AC3D0">
      <w:pPr>
        <w:jc w:val="left"/>
        <w:rPr>
          <w:rFonts w:ascii="宋体" w:cs="宋体"/>
          <w:sz w:val="32"/>
        </w:rPr>
      </w:pPr>
    </w:p>
    <w:p w14:paraId="42A6D8CE">
      <w:pPr>
        <w:adjustRightInd w:val="0"/>
        <w:snapToGrid w:val="0"/>
        <w:spacing w:line="360" w:lineRule="auto"/>
        <w:rPr>
          <w:rFonts w:ascii="宋体" w:cs="宋体"/>
          <w:sz w:val="32"/>
        </w:rPr>
      </w:pPr>
      <w:r>
        <w:rPr>
          <w:rFonts w:hint="eastAsia" w:ascii="宋体" w:cs="宋体"/>
          <w:sz w:val="32"/>
        </w:rPr>
        <w:t>＿＿＿市（州）党校：</w:t>
      </w:r>
    </w:p>
    <w:p w14:paraId="15D8334D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</w:rPr>
        <w:t>为深入学习领会习近平新时代中国特色社会主义思想，全面贯彻党的二十大和二十届三中全会、四中全会精神，进一步深化对党的创新理论的研究与阐释，为践行“为党育才，为党献策”的党校初心夯实坚实的理论基础，经省委党校（行政学院）校院委决定，拟于2025年11月22日（星期六）召开第二届“蜀华论坛”。</w:t>
      </w:r>
      <w:r>
        <w:rPr>
          <w:rFonts w:hint="eastAsia" w:ascii="宋体" w:cs="宋体"/>
          <w:sz w:val="32"/>
          <w:szCs w:val="32"/>
        </w:rPr>
        <w:t>现将有关事项通知如下：</w:t>
      </w:r>
    </w:p>
    <w:p w14:paraId="2234C9FF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一、会议主题</w:t>
      </w:r>
    </w:p>
    <w:p w14:paraId="5E35F7E1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</w:rPr>
      </w:pPr>
      <w:r>
        <w:rPr>
          <w:rFonts w:hint="eastAsia" w:ascii="宋体" w:cs="宋体"/>
          <w:sz w:val="32"/>
        </w:rPr>
        <w:t>新时代党的创新理论的道理学理哲理</w:t>
      </w:r>
    </w:p>
    <w:p w14:paraId="57734E13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二、时间和地点</w:t>
      </w:r>
    </w:p>
    <w:p w14:paraId="7D8718D9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</w:rPr>
      </w:pPr>
      <w:r>
        <w:rPr>
          <w:rFonts w:hint="eastAsia" w:ascii="宋体" w:cs="宋体"/>
          <w:sz w:val="32"/>
        </w:rPr>
        <w:t>报到时间：11月21日16：00-19：00</w:t>
      </w:r>
    </w:p>
    <w:p w14:paraId="42D136E4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</w:rPr>
      </w:pPr>
      <w:r>
        <w:rPr>
          <w:rFonts w:hint="eastAsia" w:ascii="宋体" w:cs="宋体"/>
          <w:sz w:val="32"/>
        </w:rPr>
        <w:t>报到地点：四川省委党校西校区（成都市青羊区光华村街56号）蜀英楼一楼大厅</w:t>
      </w:r>
    </w:p>
    <w:p w14:paraId="6F339E9E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</w:rPr>
      </w:pPr>
      <w:r>
        <w:rPr>
          <w:rFonts w:hint="eastAsia" w:ascii="宋体" w:cs="宋体"/>
          <w:sz w:val="32"/>
        </w:rPr>
        <w:t>会议时间：11月22日上午9：00-12：00；下午2：30-5：30</w:t>
      </w:r>
    </w:p>
    <w:p w14:paraId="2A5912C7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sz w:val="32"/>
        </w:rPr>
      </w:pPr>
      <w:r>
        <w:rPr>
          <w:rFonts w:hint="eastAsia" w:ascii="宋体" w:cs="宋体"/>
          <w:b/>
          <w:sz w:val="32"/>
        </w:rPr>
        <w:t>三、论坛安排</w:t>
      </w:r>
    </w:p>
    <w:p w14:paraId="36322E0A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bCs/>
          <w:sz w:val="32"/>
        </w:rPr>
      </w:pPr>
      <w:r>
        <w:rPr>
          <w:rFonts w:hint="eastAsia" w:ascii="宋体" w:cs="宋体"/>
          <w:bCs/>
          <w:sz w:val="32"/>
        </w:rPr>
        <w:t>（一）上午为专家主旨报告</w:t>
      </w:r>
    </w:p>
    <w:p w14:paraId="4C7F529B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bCs/>
          <w:sz w:val="32"/>
          <w:szCs w:val="32"/>
        </w:rPr>
      </w:pPr>
      <w:r>
        <w:rPr>
          <w:rFonts w:hint="eastAsia" w:ascii="宋体" w:cs="宋体"/>
          <w:bCs/>
          <w:sz w:val="32"/>
        </w:rPr>
        <w:t>（二）下午为分论坛研讨</w:t>
      </w:r>
    </w:p>
    <w:p w14:paraId="4B90D0A9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四、参会对象</w:t>
      </w:r>
    </w:p>
    <w:p w14:paraId="0DA1C0C2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全国知名学者，学术期刊编辑，全省市州党校系统的专家学者。</w:t>
      </w:r>
    </w:p>
    <w:p w14:paraId="116C9265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五、主办承办协办单位</w:t>
      </w:r>
    </w:p>
    <w:p w14:paraId="0D38DDD9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主办单位：</w:t>
      </w:r>
    </w:p>
    <w:p w14:paraId="59A3874D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中共四川省委党校（四川行政学院）</w:t>
      </w:r>
    </w:p>
    <w:p w14:paraId="718A7B06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承办单位：</w:t>
      </w:r>
    </w:p>
    <w:p w14:paraId="689E7E27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中共四川省委党校（四川行政学院）哲学教研部</w:t>
      </w:r>
    </w:p>
    <w:p w14:paraId="1C1B587A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中共四川省委党校（四川行政学院）科研处</w:t>
      </w:r>
    </w:p>
    <w:p w14:paraId="235A8A71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四川省社会主义社会辩证法学会</w:t>
      </w:r>
    </w:p>
    <w:p w14:paraId="07E3D42F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协办单位</w:t>
      </w:r>
    </w:p>
    <w:p w14:paraId="151E285C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《理论与改革》杂志社</w:t>
      </w:r>
    </w:p>
    <w:p w14:paraId="61AE3585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sz w:val="32"/>
        </w:rPr>
        <w:t>六</w:t>
      </w:r>
      <w:r>
        <w:rPr>
          <w:rFonts w:hint="eastAsia" w:ascii="宋体" w:cs="宋体"/>
          <w:b/>
          <w:bCs/>
          <w:sz w:val="32"/>
          <w:szCs w:val="32"/>
        </w:rPr>
        <w:t>、其他事项</w:t>
      </w:r>
    </w:p>
    <w:p w14:paraId="73480B40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（一）参会报名</w:t>
      </w:r>
    </w:p>
    <w:p w14:paraId="2DE49195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</w:rPr>
        <w:t>请选派分管负责同志1名以及对党的创新理论、哲学等方面有一定研究的骨干教师1名参会。参会人员须于2025年11月</w:t>
      </w:r>
      <w:r>
        <w:rPr>
          <w:rFonts w:hint="eastAsia" w:ascii="宋体" w:cs="宋体"/>
          <w:sz w:val="32"/>
          <w:szCs w:val="32"/>
        </w:rPr>
        <w:t>9日前将参会回执（见附件）发送至邮箱</w:t>
      </w:r>
      <w:r>
        <w:rPr>
          <w:rFonts w:ascii="宋体" w:cs="宋体"/>
          <w:sz w:val="32"/>
          <w:szCs w:val="32"/>
          <w:u w:val="single"/>
        </w:rPr>
        <w:t>462596320@qq.com</w:t>
      </w:r>
      <w:r>
        <w:rPr>
          <w:rFonts w:hint="eastAsia" w:ascii="宋体" w:cs="宋体"/>
          <w:sz w:val="32"/>
          <w:szCs w:val="32"/>
        </w:rPr>
        <w:t>。</w:t>
      </w:r>
      <w:r>
        <w:rPr>
          <w:rFonts w:hint="eastAsia" w:ascii="宋体" w:cs="宋体"/>
          <w:sz w:val="32"/>
        </w:rPr>
        <w:t>否则，视为放弃参会资格。</w:t>
      </w:r>
    </w:p>
    <w:p w14:paraId="34B1DA5F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（二）有关说明</w:t>
      </w:r>
    </w:p>
    <w:p w14:paraId="26132ECD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bookmarkStart w:id="0" w:name="_GoBack"/>
      <w:bookmarkEnd w:id="0"/>
      <w:r>
        <w:rPr>
          <w:rFonts w:hint="eastAsia" w:ascii="宋体" w:cs="宋体"/>
          <w:sz w:val="32"/>
        </w:rPr>
        <w:t>1.会议不收取会务费，参会人员往返交通、住宿费用自理。会议期间，严格执行中央八项规定及其实施细则精神要求，会务组</w:t>
      </w:r>
      <w:r>
        <w:rPr>
          <w:rFonts w:hint="eastAsia" w:ascii="宋体" w:cs="宋体"/>
          <w:sz w:val="32"/>
          <w:szCs w:val="32"/>
        </w:rPr>
        <w:t>不提供接送站服务。</w:t>
      </w:r>
    </w:p>
    <w:p w14:paraId="48F74278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2.如22日早上才能到校，请于上午8点45分前直接前往主会场长征厅报到并参会。</w:t>
      </w:r>
    </w:p>
    <w:p w14:paraId="50BDC0D2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3.参会人员及车辆一律从</w:t>
      </w:r>
      <w:r>
        <w:rPr>
          <w:rFonts w:ascii="宋体" w:cs="宋体"/>
          <w:sz w:val="32"/>
          <w:szCs w:val="32"/>
        </w:rPr>
        <w:t>青羊区光华村街56号</w:t>
      </w:r>
      <w:r>
        <w:rPr>
          <w:rFonts w:hint="eastAsia" w:ascii="宋体" w:cs="宋体"/>
          <w:sz w:val="32"/>
          <w:szCs w:val="32"/>
        </w:rPr>
        <w:t>四川长征干部学院1号门（正大门）进出，车辆按指引停入校内地下停车场。校园位置请参见附件图片。</w:t>
      </w:r>
    </w:p>
    <w:p w14:paraId="1A9B2038">
      <w:pPr>
        <w:adjustRightInd w:val="0"/>
        <w:snapToGrid w:val="0"/>
        <w:spacing w:line="360" w:lineRule="auto"/>
        <w:ind w:firstLine="643" w:firstLineChars="200"/>
        <w:rPr>
          <w:rFonts w:ascii="宋体" w:cs="宋体"/>
          <w:b/>
          <w:bCs/>
          <w:sz w:val="32"/>
          <w:szCs w:val="32"/>
        </w:rPr>
      </w:pPr>
      <w:r>
        <w:rPr>
          <w:rFonts w:hint="eastAsia" w:ascii="宋体" w:cs="宋体"/>
          <w:b/>
          <w:bCs/>
          <w:sz w:val="32"/>
          <w:szCs w:val="32"/>
        </w:rPr>
        <w:t>（三）会务联系</w:t>
      </w:r>
    </w:p>
    <w:p w14:paraId="4C2FB559">
      <w:pPr>
        <w:adjustRightInd w:val="0"/>
        <w:snapToGrid w:val="0"/>
        <w:spacing w:line="360" w:lineRule="auto"/>
        <w:ind w:firstLine="640" w:firstLineChars="200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陈渲文</w:t>
      </w:r>
      <w:r>
        <w:rPr>
          <w:rFonts w:ascii="宋体" w:cs="宋体"/>
          <w:sz w:val="32"/>
          <w:szCs w:val="32"/>
        </w:rPr>
        <w:t>18516291363</w:t>
      </w:r>
      <w:r>
        <w:rPr>
          <w:rFonts w:hint="eastAsia" w:ascii="宋体" w:cs="宋体"/>
          <w:sz w:val="32"/>
          <w:szCs w:val="32"/>
        </w:rPr>
        <w:t xml:space="preserve">    樊一锐 19130309257    </w:t>
      </w:r>
    </w:p>
    <w:p w14:paraId="07F78C04">
      <w:pPr>
        <w:adjustRightInd w:val="0"/>
        <w:snapToGrid w:val="0"/>
        <w:spacing w:line="360" w:lineRule="auto"/>
        <w:rPr>
          <w:rFonts w:ascii="宋体" w:cs="宋体"/>
          <w:sz w:val="32"/>
          <w:szCs w:val="32"/>
        </w:rPr>
      </w:pPr>
    </w:p>
    <w:p w14:paraId="3EC31BF7">
      <w:pPr>
        <w:adjustRightInd w:val="0"/>
        <w:snapToGrid w:val="0"/>
        <w:spacing w:line="360" w:lineRule="auto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 xml:space="preserve">     中共四川省委党校（四川行政学院）哲学教研部</w:t>
      </w:r>
    </w:p>
    <w:p w14:paraId="5E14BA81">
      <w:pPr>
        <w:adjustRightInd w:val="0"/>
        <w:snapToGrid w:val="0"/>
        <w:spacing w:line="360" w:lineRule="auto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 xml:space="preserve">                                  2025年10月27日</w:t>
      </w:r>
    </w:p>
    <w:p w14:paraId="5C43D6A8">
      <w:pPr>
        <w:jc w:val="center"/>
        <w:rPr>
          <w:rFonts w:ascii="宋体" w:cs="宋体"/>
          <w:b/>
          <w:sz w:val="32"/>
        </w:rPr>
      </w:pPr>
    </w:p>
    <w:p w14:paraId="318EC52C">
      <w:pPr>
        <w:jc w:val="center"/>
        <w:rPr>
          <w:rFonts w:ascii="宋体" w:cs="宋体"/>
          <w:sz w:val="32"/>
          <w:szCs w:val="32"/>
        </w:rPr>
      </w:pPr>
    </w:p>
    <w:p w14:paraId="4D2EF02A">
      <w:pPr>
        <w:jc w:val="center"/>
        <w:rPr>
          <w:rFonts w:ascii="宋体" w:cs="宋体"/>
          <w:sz w:val="32"/>
          <w:szCs w:val="32"/>
        </w:rPr>
      </w:pPr>
    </w:p>
    <w:p w14:paraId="1CC06A87">
      <w:pPr>
        <w:jc w:val="center"/>
        <w:rPr>
          <w:rFonts w:ascii="宋体" w:cs="宋体"/>
          <w:sz w:val="32"/>
          <w:szCs w:val="32"/>
        </w:rPr>
      </w:pPr>
    </w:p>
    <w:p w14:paraId="1CC38CC5">
      <w:pPr>
        <w:jc w:val="center"/>
        <w:rPr>
          <w:rFonts w:ascii="宋体" w:cs="宋体"/>
          <w:sz w:val="32"/>
          <w:szCs w:val="32"/>
        </w:rPr>
      </w:pPr>
    </w:p>
    <w:p w14:paraId="14FC1F3C">
      <w:pPr>
        <w:jc w:val="center"/>
        <w:rPr>
          <w:rFonts w:ascii="宋体" w:cs="宋体"/>
          <w:sz w:val="32"/>
          <w:szCs w:val="32"/>
        </w:rPr>
      </w:pPr>
    </w:p>
    <w:p w14:paraId="27470715">
      <w:pPr>
        <w:rPr>
          <w:rFonts w:ascii="宋体" w:cs="宋体"/>
          <w:sz w:val="32"/>
          <w:szCs w:val="32"/>
        </w:rPr>
      </w:pPr>
    </w:p>
    <w:p w14:paraId="7A2982A4">
      <w:pPr>
        <w:rPr>
          <w:rFonts w:ascii="宋体" w:cs="宋体"/>
          <w:sz w:val="32"/>
          <w:szCs w:val="32"/>
        </w:rPr>
      </w:pPr>
    </w:p>
    <w:p w14:paraId="4C25D864">
      <w:pPr>
        <w:jc w:val="left"/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t>附件：</w:t>
      </w:r>
    </w:p>
    <w:p w14:paraId="62EB53DC">
      <w:pPr>
        <w:widowControl/>
        <w:jc w:val="center"/>
        <w:rPr>
          <w:rFonts w:ascii="宋体" w:cs="宋体"/>
          <w:b/>
          <w:bCs/>
          <w:color w:val="1F1F1F"/>
          <w:kern w:val="0"/>
          <w:sz w:val="28"/>
          <w:szCs w:val="28"/>
          <w:shd w:val="clear" w:color="auto" w:fill="FFFFFF"/>
        </w:rPr>
      </w:pPr>
    </w:p>
    <w:p w14:paraId="6933ED50">
      <w:pPr>
        <w:widowControl/>
        <w:jc w:val="center"/>
        <w:rPr>
          <w:rFonts w:ascii="宋体" w:cs="宋体"/>
          <w:b/>
          <w:bCs/>
          <w:color w:val="1F1F1F"/>
          <w:kern w:val="0"/>
          <w:sz w:val="28"/>
          <w:szCs w:val="28"/>
          <w:shd w:val="clear" w:color="auto" w:fill="FFFFFF"/>
        </w:rPr>
      </w:pPr>
      <w:r>
        <w:rPr>
          <w:rFonts w:hint="eastAsia" w:ascii="宋体" w:cs="宋体"/>
          <w:b/>
          <w:bCs/>
          <w:color w:val="1F1F1F"/>
          <w:kern w:val="0"/>
          <w:sz w:val="28"/>
          <w:szCs w:val="28"/>
          <w:shd w:val="clear" w:color="auto" w:fill="FFFFFF"/>
        </w:rPr>
        <w:t>第二届“蜀华论坛”参会回执</w:t>
      </w:r>
    </w:p>
    <w:p w14:paraId="082412F9">
      <w:pPr>
        <w:widowControl/>
        <w:jc w:val="center"/>
        <w:rPr>
          <w:rFonts w:ascii="宋体" w:cs="宋体"/>
          <w:color w:val="1F1F1F"/>
          <w:kern w:val="0"/>
          <w:sz w:val="24"/>
          <w:shd w:val="clear" w:color="auto" w:fill="FFFFFF"/>
        </w:rPr>
      </w:pPr>
    </w:p>
    <w:p w14:paraId="6AF88610">
      <w:pPr>
        <w:widowControl/>
        <w:rPr>
          <w:rFonts w:ascii="宋体" w:cs="宋体"/>
          <w:color w:val="1F1F1F"/>
          <w:kern w:val="0"/>
          <w:sz w:val="24"/>
          <w:shd w:val="clear" w:color="auto" w:fill="FFFFFF"/>
        </w:rPr>
      </w:pPr>
    </w:p>
    <w:tbl>
      <w:tblPr>
        <w:tblStyle w:val="8"/>
        <w:tblW w:w="94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70"/>
        <w:gridCol w:w="3950"/>
        <w:gridCol w:w="1280"/>
        <w:gridCol w:w="1559"/>
      </w:tblGrid>
      <w:tr w14:paraId="667FB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70" w:type="dxa"/>
            <w:vAlign w:val="center"/>
          </w:tcPr>
          <w:p w14:paraId="5B3C0913">
            <w:pPr>
              <w:spacing w:line="480" w:lineRule="auto"/>
              <w:jc w:val="center"/>
              <w:rPr>
                <w:rFonts w:ascii="宋体" w:cs="宋体"/>
                <w:b/>
                <w:bCs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姓名</w:t>
            </w:r>
          </w:p>
        </w:tc>
        <w:tc>
          <w:tcPr>
            <w:tcW w:w="3950" w:type="dxa"/>
            <w:vAlign w:val="center"/>
          </w:tcPr>
          <w:p w14:paraId="29350215">
            <w:pPr>
              <w:rPr>
                <w:rFonts w:ascii="宋体" w:cs="宋体"/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19DB3D8">
            <w:pPr>
              <w:jc w:val="center"/>
              <w:rPr>
                <w:rFonts w:ascii="宋体" w:cs="宋体"/>
                <w:b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性别</w:t>
            </w:r>
          </w:p>
        </w:tc>
        <w:tc>
          <w:tcPr>
            <w:tcW w:w="1559" w:type="dxa"/>
            <w:vAlign w:val="center"/>
          </w:tcPr>
          <w:p w14:paraId="4A096BF7">
            <w:pPr>
              <w:rPr>
                <w:rFonts w:ascii="宋体" w:cs="宋体"/>
                <w:b/>
                <w:spacing w:val="30"/>
                <w:sz w:val="24"/>
              </w:rPr>
            </w:pPr>
          </w:p>
        </w:tc>
      </w:tr>
      <w:tr w14:paraId="357B7F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  <w:jc w:val="center"/>
        </w:trPr>
        <w:tc>
          <w:tcPr>
            <w:tcW w:w="2670" w:type="dxa"/>
            <w:vAlign w:val="center"/>
          </w:tcPr>
          <w:p w14:paraId="4DB6FB9B">
            <w:pPr>
              <w:spacing w:line="480" w:lineRule="auto"/>
              <w:jc w:val="center"/>
              <w:rPr>
                <w:rFonts w:ascii="宋体" w:cs="宋体"/>
                <w:b/>
                <w:bCs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工作单位</w:t>
            </w:r>
          </w:p>
        </w:tc>
        <w:tc>
          <w:tcPr>
            <w:tcW w:w="6789" w:type="dxa"/>
            <w:gridSpan w:val="3"/>
            <w:vAlign w:val="center"/>
          </w:tcPr>
          <w:p w14:paraId="7FDF52E1">
            <w:pPr>
              <w:rPr>
                <w:rFonts w:ascii="宋体" w:cs="宋体"/>
                <w:sz w:val="24"/>
              </w:rPr>
            </w:pPr>
          </w:p>
        </w:tc>
      </w:tr>
      <w:tr w14:paraId="514F1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6" w:hRule="atLeast"/>
          <w:jc w:val="center"/>
        </w:trPr>
        <w:tc>
          <w:tcPr>
            <w:tcW w:w="2670" w:type="dxa"/>
            <w:vAlign w:val="center"/>
          </w:tcPr>
          <w:p w14:paraId="5DD030BF">
            <w:pPr>
              <w:spacing w:line="360" w:lineRule="auto"/>
              <w:jc w:val="center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职务/职称</w:t>
            </w:r>
          </w:p>
        </w:tc>
        <w:tc>
          <w:tcPr>
            <w:tcW w:w="6789" w:type="dxa"/>
            <w:gridSpan w:val="3"/>
            <w:vAlign w:val="center"/>
          </w:tcPr>
          <w:p w14:paraId="16EB05ED">
            <w:pPr>
              <w:rPr>
                <w:rFonts w:ascii="宋体" w:cs="宋体"/>
                <w:sz w:val="24"/>
              </w:rPr>
            </w:pPr>
          </w:p>
        </w:tc>
      </w:tr>
      <w:tr w14:paraId="78D543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2670" w:type="dxa"/>
            <w:vAlign w:val="center"/>
          </w:tcPr>
          <w:p w14:paraId="6213E989">
            <w:pPr>
              <w:spacing w:line="360" w:lineRule="auto"/>
              <w:jc w:val="center"/>
              <w:rPr>
                <w:rFonts w:ascii="宋体" w:cs="宋体"/>
                <w:b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联系方式</w:t>
            </w:r>
          </w:p>
        </w:tc>
        <w:tc>
          <w:tcPr>
            <w:tcW w:w="6789" w:type="dxa"/>
            <w:gridSpan w:val="3"/>
            <w:vAlign w:val="center"/>
          </w:tcPr>
          <w:p w14:paraId="30F31765">
            <w:pPr>
              <w:rPr>
                <w:rFonts w:ascii="宋体" w:cs="宋体"/>
                <w:sz w:val="24"/>
              </w:rPr>
            </w:pPr>
          </w:p>
        </w:tc>
      </w:tr>
      <w:tr w14:paraId="5D6DE0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70" w:type="dxa"/>
            <w:vAlign w:val="center"/>
          </w:tcPr>
          <w:p w14:paraId="288690DE">
            <w:pPr>
              <w:spacing w:line="480" w:lineRule="auto"/>
              <w:jc w:val="center"/>
              <w:rPr>
                <w:rFonts w:ascii="宋体" w:cs="宋体"/>
                <w:b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是否开车</w:t>
            </w:r>
          </w:p>
        </w:tc>
        <w:tc>
          <w:tcPr>
            <w:tcW w:w="6789" w:type="dxa"/>
            <w:gridSpan w:val="3"/>
            <w:vAlign w:val="center"/>
          </w:tcPr>
          <w:p w14:paraId="4D706A24">
            <w:pPr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 xml:space="preserve">                    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 xml:space="preserve">是，请提供车牌号：         </w:t>
            </w:r>
          </w:p>
          <w:p w14:paraId="6CA4CA95">
            <w:pPr>
              <w:ind w:firstLine="2400" w:firstLineChars="1000"/>
              <w:rPr>
                <w:rFonts w:ascii="宋体" w:cs="宋体"/>
                <w:sz w:val="24"/>
              </w:rPr>
            </w:pPr>
          </w:p>
          <w:p w14:paraId="08FC985D">
            <w:pPr>
              <w:ind w:firstLine="2400" w:firstLineChars="1000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否</w:t>
            </w:r>
          </w:p>
        </w:tc>
      </w:tr>
      <w:tr w14:paraId="4EC8EB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70" w:type="dxa"/>
            <w:vAlign w:val="center"/>
          </w:tcPr>
          <w:p w14:paraId="5B44E237">
            <w:pPr>
              <w:spacing w:line="480" w:lineRule="auto"/>
              <w:jc w:val="center"/>
              <w:rPr>
                <w:rFonts w:ascii="宋体" w:cs="宋体"/>
                <w:b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是否在校内住宿</w:t>
            </w:r>
          </w:p>
        </w:tc>
        <w:tc>
          <w:tcPr>
            <w:tcW w:w="6789" w:type="dxa"/>
            <w:gridSpan w:val="3"/>
            <w:vAlign w:val="center"/>
          </w:tcPr>
          <w:p w14:paraId="7CA74C0A">
            <w:pPr>
              <w:ind w:firstLine="480" w:firstLineChars="200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在校内住宿，请勾选具体时间（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 xml:space="preserve">21日晚 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22日晚）</w:t>
            </w:r>
          </w:p>
          <w:p w14:paraId="391D29B3">
            <w:pPr>
              <w:ind w:firstLine="480" w:firstLineChars="200"/>
              <w:rPr>
                <w:rFonts w:ascii="宋体" w:cs="宋体"/>
                <w:sz w:val="24"/>
              </w:rPr>
            </w:pPr>
          </w:p>
          <w:p w14:paraId="2ED57A7D">
            <w:pPr>
              <w:ind w:firstLine="2400" w:firstLineChars="1000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不住宿</w:t>
            </w:r>
          </w:p>
        </w:tc>
      </w:tr>
      <w:tr w14:paraId="743E76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70" w:type="dxa"/>
            <w:vAlign w:val="center"/>
          </w:tcPr>
          <w:p w14:paraId="0D05EC4C">
            <w:pPr>
              <w:spacing w:line="480" w:lineRule="auto"/>
              <w:jc w:val="center"/>
              <w:rPr>
                <w:rFonts w:ascii="宋体" w:cs="宋体"/>
                <w:b/>
                <w:spacing w:val="30"/>
                <w:sz w:val="24"/>
              </w:rPr>
            </w:pPr>
            <w:r>
              <w:rPr>
                <w:rFonts w:hint="eastAsia" w:ascii="宋体" w:cs="宋体"/>
                <w:b/>
                <w:spacing w:val="30"/>
                <w:sz w:val="24"/>
              </w:rPr>
              <w:t>校内就餐安排</w:t>
            </w:r>
          </w:p>
        </w:tc>
        <w:tc>
          <w:tcPr>
            <w:tcW w:w="6789" w:type="dxa"/>
            <w:gridSpan w:val="3"/>
            <w:vAlign w:val="center"/>
          </w:tcPr>
          <w:p w14:paraId="3746C5AC">
            <w:pPr>
              <w:ind w:firstLine="1680" w:firstLineChars="700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21日：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晚餐</w:t>
            </w:r>
          </w:p>
          <w:p w14:paraId="311A3BD1">
            <w:pPr>
              <w:ind w:firstLine="1680" w:firstLineChars="700"/>
              <w:rPr>
                <w:rFonts w:ascii="宋体" w:cs="宋体"/>
                <w:sz w:val="24"/>
              </w:rPr>
            </w:pPr>
          </w:p>
          <w:p w14:paraId="56757CB8">
            <w:pPr>
              <w:ind w:firstLine="1680" w:firstLineChars="700"/>
              <w:rPr>
                <w:rFonts w:ascii="宋体" w:cs="宋体"/>
                <w:sz w:val="24"/>
              </w:rPr>
            </w:pPr>
            <w:r>
              <w:rPr>
                <w:rFonts w:hint="eastAsia" w:ascii="宋体" w:cs="宋体"/>
                <w:sz w:val="24"/>
              </w:rPr>
              <w:t>22日：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 xml:space="preserve">早餐  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 xml:space="preserve">午餐  </w:t>
            </w:r>
            <w:r>
              <w:rPr>
                <w:rFonts w:hint="eastAsia" w:ascii="宋体" w:cs="宋体"/>
                <w:sz w:val="24"/>
              </w:rPr>
              <w:sym w:font="Wingdings 2" w:char="00A3"/>
            </w:r>
            <w:r>
              <w:rPr>
                <w:rFonts w:hint="eastAsia" w:ascii="宋体" w:cs="宋体"/>
                <w:sz w:val="24"/>
              </w:rPr>
              <w:t>晚餐</w:t>
            </w:r>
          </w:p>
        </w:tc>
      </w:tr>
    </w:tbl>
    <w:p w14:paraId="1B5DE69C">
      <w:pPr>
        <w:rPr>
          <w:rFonts w:ascii="宋体" w:cs="宋体"/>
          <w:sz w:val="32"/>
          <w:szCs w:val="32"/>
        </w:rPr>
      </w:pPr>
    </w:p>
    <w:p w14:paraId="327DADE4">
      <w:pPr>
        <w:rPr>
          <w:rFonts w:ascii="宋体" w:cs="宋体"/>
          <w:sz w:val="32"/>
          <w:szCs w:val="32"/>
        </w:rPr>
      </w:pPr>
      <w:r>
        <w:rPr>
          <w:rFonts w:hint="eastAsia" w:ascii="宋体" w:cs="宋体"/>
          <w:sz w:val="32"/>
          <w:szCs w:val="32"/>
        </w:rPr>
        <w:drawing>
          <wp:inline distT="0" distB="0" distL="114300" distR="114300">
            <wp:extent cx="5273675" cy="8564880"/>
            <wp:effectExtent l="0" t="0" r="46" b="36"/>
            <wp:docPr id="1" name="图片 1" descr="地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地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8564881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rtlGutter w:val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Nimbus Roman No9 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Luxi Sans">
    <w:altName w:val="文泉驿微米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EAD7BF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68FF73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68FF73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1"/>
  <w:bordersDoNotSurroundFooter w:val="1"/>
  <w:documentProtection w:edit="readOnly" w:enforcement="0"/>
  <w:defaultTabStop w:val="420"/>
  <w:drawingGridHorizontalSpacing w:val="105"/>
  <w:drawingGridVerticalSpacing w:val="156"/>
  <w:characterSpacingControl w:val="doNotCompress"/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NmNjZTM1MDFjMzExNDU2NzczODQ3N2YzYWY2MmYxMWEifQ=="/>
    <w:docVar w:name="KSO_WPS_MARK_KEY" w:val="6b453638-b226-4a63-8194-dd596c796e0e"/>
  </w:docVars>
  <w:rsids>
    <w:rsidRoot w:val="002F24A0"/>
    <w:rsid w:val="000661D6"/>
    <w:rsid w:val="001C6FA9"/>
    <w:rsid w:val="00281C95"/>
    <w:rsid w:val="002F24A0"/>
    <w:rsid w:val="00482AA6"/>
    <w:rsid w:val="00615D62"/>
    <w:rsid w:val="00767D91"/>
    <w:rsid w:val="009F3A43"/>
    <w:rsid w:val="009F3E4E"/>
    <w:rsid w:val="00A81DF6"/>
    <w:rsid w:val="00B20D4E"/>
    <w:rsid w:val="00BE3B5B"/>
    <w:rsid w:val="00C87467"/>
    <w:rsid w:val="00D04B4D"/>
    <w:rsid w:val="00E10B10"/>
    <w:rsid w:val="00ED4646"/>
    <w:rsid w:val="00F06CFC"/>
    <w:rsid w:val="00FD25EB"/>
    <w:rsid w:val="1A54241E"/>
    <w:rsid w:val="2171775A"/>
    <w:rsid w:val="27154FD8"/>
    <w:rsid w:val="29E80EDF"/>
    <w:rsid w:val="2AF5556C"/>
    <w:rsid w:val="3115045E"/>
    <w:rsid w:val="3F2B7E04"/>
    <w:rsid w:val="408A531C"/>
    <w:rsid w:val="492F224C"/>
    <w:rsid w:val="4D78603B"/>
    <w:rsid w:val="55F90B9D"/>
    <w:rsid w:val="5A3556CE"/>
    <w:rsid w:val="5B244C37"/>
    <w:rsid w:val="63386C56"/>
    <w:rsid w:val="761B68DD"/>
    <w:rsid w:val="FFBC7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Luxi Sans" w:hAnsi="Luxi Sans" w:eastAsia="黑体"/>
      <w:b/>
      <w:sz w:val="32"/>
    </w:rPr>
  </w:style>
  <w:style w:type="paragraph" w:styleId="4">
    <w:name w:val="heading 3"/>
    <w:basedOn w:val="1"/>
    <w:next w:val="1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页眉 字符"/>
    <w:basedOn w:val="9"/>
    <w:link w:val="7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1">
    <w:name w:val="页脚 字符"/>
    <w:basedOn w:val="9"/>
    <w:link w:val="6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531</Words>
  <Characters>580</Characters>
  <Lines>64</Lines>
  <Paragraphs>58</Paragraphs>
  <TotalTime>70</TotalTime>
  <ScaleCrop>false</ScaleCrop>
  <LinksUpToDate>false</LinksUpToDate>
  <CharactersWithSpaces>1053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2024-09-02T14:21:00Z</dcterms:created>
  <dc:creator>ThinkBook</dc:creator>
  <cp:lastModifiedBy>Fujing</cp:lastModifiedBy>
  <dcterms:modified xsi:type="dcterms:W3CDTF">2025-11-03T08:59:25Z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D174CB43D53D065A6DFE07692AFDB4D7_43</vt:lpwstr>
  </property>
</Properties>
</file>